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Times New Roman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四川川东高速公路有限责任公司</w:t>
      </w:r>
    </w:p>
    <w:p>
      <w:pPr>
        <w:spacing w:line="56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/>
        </w:rPr>
      </w:pPr>
      <w:bookmarkStart w:id="8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2022年-2024年机电部分工程造价审核</w:t>
      </w:r>
    </w:p>
    <w:bookmarkEnd w:id="8"/>
    <w:p>
      <w:pPr>
        <w:tabs>
          <w:tab w:val="left" w:pos="685"/>
          <w:tab w:val="center" w:pos="4442"/>
        </w:tabs>
        <w:jc w:val="left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hint="eastAsia" w:ascii="Times New Roman" w:hAnsi="Times New Roman" w:eastAsia="宋体" w:cs="Times New Roman"/>
          <w:b/>
          <w:bCs/>
          <w:sz w:val="52"/>
          <w:szCs w:val="52"/>
        </w:rPr>
        <w:tab/>
      </w:r>
      <w:r>
        <w:rPr>
          <w:rFonts w:hint="eastAsia" w:ascii="Times New Roman" w:hAnsi="Times New Roman" w:eastAsia="宋体" w:cs="Times New Roman"/>
          <w:b/>
          <w:bCs/>
          <w:sz w:val="52"/>
          <w:szCs w:val="52"/>
        </w:rPr>
        <w:tab/>
      </w:r>
      <w:r>
        <w:rPr>
          <w:rFonts w:ascii="Times New Roman" w:hAnsi="Times New Roman" w:eastAsia="宋体" w:cs="Times New Roman"/>
          <w:b/>
          <w:bCs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ascii="Times New Roman" w:hAnsi="Times New Roman" w:eastAsia="宋体" w:cs="Times New Roman"/>
          <w:b/>
          <w:bCs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ascii="Times New Roman" w:hAnsi="Times New Roman" w:eastAsia="宋体" w:cs="Times New Roman"/>
          <w:b/>
          <w:bCs/>
          <w:sz w:val="52"/>
          <w:szCs w:val="52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52"/>
          <w:szCs w:val="52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询 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价</w:t>
      </w: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文 </w:t>
      </w:r>
    </w:p>
    <w:p>
      <w:pPr>
        <w:jc w:val="center"/>
        <w:rPr>
          <w:rFonts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件</w:t>
      </w: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ascii="Times New Roman" w:hAnsi="Times New Roman" w:eastAsia="宋体" w:cs="Times New Roman"/>
          <w:b/>
          <w:bCs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ascii="Times New Roman" w:hAnsi="Times New Roman" w:eastAsia="宋体" w:cs="Times New Roman"/>
          <w:b/>
          <w:bCs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ascii="Times New Roman" w:hAnsi="Times New Roman" w:eastAsia="宋体" w:cs="Times New Roman"/>
          <w:b/>
          <w:bCs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52"/>
          <w:szCs w:val="52"/>
        </w:rPr>
      </w:pPr>
      <w:r>
        <w:rPr>
          <w:rFonts w:ascii="Times New Roman" w:hAnsi="Times New Roman" w:eastAsia="宋体" w:cs="Times New Roman"/>
          <w:b/>
          <w:bCs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询价人：四川川东高速公路有限责任公司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</w:p>
    <w:p>
      <w:pPr>
        <w:spacing w:before="156" w:beforeLines="50" w:after="156" w:afterLines="50" w:line="360" w:lineRule="auto"/>
        <w:ind w:firstLine="3200" w:firstLineChars="1000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二〇二一年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十一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月</w:t>
      </w:r>
    </w:p>
    <w:p>
      <w:pPr>
        <w:rPr>
          <w:rFonts w:ascii="方正小标宋_GBK" w:hAnsi="方正小标宋_GBK" w:eastAsia="方正小标宋_GBK" w:cs="方正小标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/>
        <w:keepLines/>
        <w:widowControl/>
        <w:spacing w:before="480" w:line="273" w:lineRule="auto"/>
        <w:jc w:val="center"/>
        <w:rPr>
          <w:rFonts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目 录</w:t>
      </w:r>
    </w:p>
    <w:p>
      <w:pPr>
        <w:spacing w:line="360" w:lineRule="auto"/>
      </w:pPr>
      <w:r>
        <w:rPr>
          <w:rFonts w:ascii="Times New Roman" w:hAnsi="Times New Roman" w:eastAsia="宋体" w:cs="Times New Roman"/>
          <w:szCs w:val="21"/>
        </w:rPr>
        <w:t xml:space="preserve"> </w:t>
      </w:r>
    </w:p>
    <w:sdt>
      <w:sdtPr>
        <w:rPr>
          <w:rFonts w:ascii="宋体" w:hAnsi="宋体" w:eastAsia="宋体"/>
        </w:rPr>
        <w:id w:val="147454845"/>
        <w15:color w:val="DBDBDB"/>
      </w:sdtPr>
      <w:sdtEndPr>
        <w:rPr>
          <w:rFonts w:ascii="宋体" w:hAnsi="宋体" w:eastAsia="宋体"/>
        </w:rPr>
      </w:sdtEndPr>
      <w:sdtContent>
        <w:p>
          <w:pPr>
            <w:jc w:val="center"/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</w:p>
        <w:p>
          <w:pPr>
            <w:pStyle w:val="10"/>
            <w:tabs>
              <w:tab w:val="right" w:leader="dot" w:pos="8504"/>
            </w:tabs>
            <w:rPr>
              <w:rFonts w:ascii="仿宋_GB2312" w:hAnsi="仿宋_GB2312" w:eastAsia="仿宋_GB2312" w:cs="仿宋_GB2312"/>
              <w:sz w:val="32"/>
              <w:szCs w:val="32"/>
            </w:rPr>
          </w:pPr>
          <w:r>
            <w:fldChar w:fldCharType="begin"/>
          </w:r>
          <w:r>
            <w:instrText xml:space="preserve"> HYPERLINK \l "_Toc2705" </w:instrText>
          </w:r>
          <w: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第一章  询价公告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>1</w:t>
          </w:r>
        </w:p>
        <w:p>
          <w:pPr>
            <w:pStyle w:val="11"/>
            <w:tabs>
              <w:tab w:val="right" w:leader="dot" w:pos="8504"/>
            </w:tabs>
            <w:ind w:left="420"/>
            <w:rPr>
              <w:rFonts w:ascii="仿宋_GB2312" w:hAnsi="仿宋_GB2312" w:eastAsia="仿宋_GB2312" w:cs="仿宋_GB2312"/>
              <w:sz w:val="32"/>
              <w:szCs w:val="32"/>
            </w:rPr>
          </w:pPr>
        </w:p>
        <w:p>
          <w:pPr>
            <w:pStyle w:val="10"/>
            <w:tabs>
              <w:tab w:val="right" w:leader="dot" w:pos="8504"/>
            </w:tabs>
            <w:rPr>
              <w:rFonts w:hint="eastAsia" w:ascii="仿宋_GB2312" w:hAnsi="仿宋_GB2312" w:eastAsia="仿宋_GB2312" w:cs="仿宋_GB2312"/>
              <w:sz w:val="32"/>
              <w:szCs w:val="32"/>
              <w:lang w:eastAsia="zh-CN"/>
            </w:rPr>
          </w:pPr>
          <w:r>
            <w:fldChar w:fldCharType="begin"/>
          </w:r>
          <w:r>
            <w:instrText xml:space="preserve"> HYPERLINK \l "_Toc11724" </w:instrText>
          </w:r>
          <w: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>第二章  报价人须知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5</w:t>
          </w:r>
        </w:p>
        <w:p>
          <w:pPr>
            <w:pStyle w:val="12"/>
            <w:tabs>
              <w:tab w:val="right" w:leader="dot" w:pos="8504"/>
            </w:tabs>
            <w:ind w:left="840"/>
            <w:rPr>
              <w:rFonts w:ascii="仿宋_GB2312" w:hAnsi="仿宋_GB2312" w:eastAsia="仿宋_GB2312" w:cs="仿宋_GB2312"/>
              <w:sz w:val="32"/>
              <w:szCs w:val="32"/>
            </w:rPr>
          </w:pPr>
        </w:p>
        <w:p>
          <w:pPr>
            <w:pStyle w:val="10"/>
            <w:tabs>
              <w:tab w:val="right" w:leader="dot" w:pos="8504"/>
            </w:tabs>
            <w:rPr>
              <w:rFonts w:hint="default" w:ascii="仿宋_GB2312" w:hAnsi="仿宋_GB2312" w:eastAsia="仿宋_GB2312" w:cs="仿宋_GB2312"/>
              <w:sz w:val="32"/>
              <w:szCs w:val="32"/>
              <w:lang w:val="en-US" w:eastAsia="zh-CN"/>
            </w:rPr>
          </w:pPr>
          <w:r>
            <w:fldChar w:fldCharType="begin"/>
          </w:r>
          <w:r>
            <w:instrText xml:space="preserve"> HYPERLINK \l "_Toc18423" </w:instrText>
          </w:r>
          <w: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 xml:space="preserve">第三章 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评审办法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9</w:t>
          </w:r>
        </w:p>
        <w:p>
          <w:pPr>
            <w:pStyle w:val="11"/>
            <w:tabs>
              <w:tab w:val="right" w:leader="dot" w:pos="8504"/>
            </w:tabs>
            <w:ind w:left="420"/>
            <w:rPr>
              <w:rFonts w:ascii="仿宋_GB2312" w:hAnsi="仿宋_GB2312" w:eastAsia="仿宋_GB2312" w:cs="仿宋_GB2312"/>
              <w:sz w:val="32"/>
              <w:szCs w:val="32"/>
            </w:rPr>
          </w:pPr>
        </w:p>
        <w:p>
          <w:pPr>
            <w:pStyle w:val="10"/>
            <w:tabs>
              <w:tab w:val="right" w:leader="dot" w:pos="8504"/>
            </w:tabs>
            <w:rPr>
              <w:rFonts w:hint="default" w:ascii="仿宋_GB2312" w:hAnsi="仿宋_GB2312" w:eastAsia="仿宋_GB2312" w:cs="仿宋_GB2312"/>
              <w:sz w:val="32"/>
              <w:szCs w:val="32"/>
              <w:lang w:val="en-US" w:eastAsia="zh-CN"/>
            </w:rPr>
          </w:pPr>
          <w:r>
            <w:fldChar w:fldCharType="begin"/>
          </w:r>
          <w:r>
            <w:instrText xml:space="preserve"> HYPERLINK \l "_Toc14189" </w:instrText>
          </w:r>
          <w:r>
            <w:fldChar w:fldCharType="separate"/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</w:rPr>
            <w:t xml:space="preserve">第四章  </w:t>
          </w:r>
          <w:r>
            <w:rPr>
              <w:rFonts w:hint="eastAsia" w:ascii="仿宋_GB2312" w:hAnsi="仿宋_GB2312" w:eastAsia="仿宋_GB2312" w:cs="仿宋_GB2312"/>
              <w:bCs/>
              <w:sz w:val="32"/>
              <w:szCs w:val="32"/>
              <w:lang w:val="en-US" w:eastAsia="zh-CN"/>
            </w:rPr>
            <w:t>报价文件格式</w:t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tab/>
          </w:r>
          <w:r>
            <w:rPr>
              <w:rFonts w:hint="eastAsia" w:ascii="仿宋_GB2312" w:hAnsi="仿宋_GB2312" w:eastAsia="仿宋_GB2312" w:cs="仿宋_GB2312"/>
              <w:sz w:val="32"/>
              <w:szCs w:val="32"/>
            </w:rPr>
            <w:fldChar w:fldCharType="end"/>
          </w:r>
          <w:r>
            <w:rPr>
              <w:rFonts w:hint="eastAsia" w:ascii="仿宋_GB2312" w:hAnsi="仿宋_GB2312" w:eastAsia="仿宋_GB2312" w:cs="仿宋_GB2312"/>
              <w:sz w:val="32"/>
              <w:szCs w:val="32"/>
              <w:lang w:val="en-US" w:eastAsia="zh-CN"/>
            </w:rPr>
            <w:t>14</w:t>
          </w:r>
        </w:p>
        <w:p>
          <w:pPr>
            <w:pStyle w:val="12"/>
            <w:tabs>
              <w:tab w:val="right" w:leader="dot" w:pos="8504"/>
            </w:tabs>
            <w:ind w:left="840"/>
            <w:rPr>
              <w:rFonts w:ascii="仿宋_GB2312" w:hAnsi="仿宋_GB2312" w:eastAsia="仿宋_GB2312" w:cs="仿宋_GB2312"/>
              <w:sz w:val="32"/>
              <w:szCs w:val="32"/>
            </w:rPr>
          </w:pPr>
        </w:p>
        <w:p>
          <w:pPr>
            <w:pStyle w:val="10"/>
            <w:tabs>
              <w:tab w:val="right" w:leader="dot" w:pos="8504"/>
            </w:tabs>
            <w:rPr>
              <w:rFonts w:ascii="仿宋_GB2312" w:hAnsi="仿宋_GB2312" w:eastAsia="仿宋_GB2312" w:cs="仿宋_GB2312"/>
              <w:sz w:val="32"/>
              <w:szCs w:val="32"/>
            </w:rPr>
          </w:pPr>
        </w:p>
        <w:p>
          <w:pPr>
            <w:pStyle w:val="10"/>
            <w:tabs>
              <w:tab w:val="right" w:leader="dot" w:pos="8504"/>
            </w:tabs>
            <w:rPr>
              <w:rFonts w:ascii="仿宋_GB2312" w:hAnsi="仿宋_GB2312" w:eastAsia="仿宋_GB2312" w:cs="仿宋_GB2312"/>
              <w:sz w:val="32"/>
              <w:szCs w:val="32"/>
            </w:rPr>
          </w:pPr>
        </w:p>
        <w:p>
          <w:r>
            <w:fldChar w:fldCharType="end"/>
          </w:r>
        </w:p>
      </w:sdtContent>
    </w:sdt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ascii="Times New Roman" w:hAnsi="Times New Roman" w:eastAsia="宋体" w:cs="Times New Roman"/>
          <w:b/>
          <w:bCs/>
          <w:sz w:val="32"/>
          <w:szCs w:val="32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b/>
          <w:bCs/>
          <w:sz w:val="36"/>
          <w:szCs w:val="36"/>
        </w:rPr>
        <w:sectPr>
          <w:footerReference r:id="rId5" w:type="default"/>
          <w:footerReference r:id="rId6" w:type="even"/>
          <w:pgSz w:w="11906" w:h="16838"/>
          <w:pgMar w:top="1701" w:right="1701" w:bottom="1402" w:left="1701" w:header="720" w:footer="720" w:gutter="0"/>
          <w:cols w:space="720" w:num="1"/>
          <w:docGrid w:type="lines" w:linePitch="312" w:charSpace="0"/>
        </w:sectPr>
      </w:pPr>
    </w:p>
    <w:p>
      <w:pPr>
        <w:numPr>
          <w:ilvl w:val="255"/>
          <w:numId w:val="0"/>
        </w:numPr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  <w:bookmarkStart w:id="0" w:name="_Toc2705"/>
    </w:p>
    <w:p>
      <w:pPr>
        <w:numPr>
          <w:ilvl w:val="255"/>
          <w:numId w:val="0"/>
        </w:numPr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numPr>
          <w:ilvl w:val="255"/>
          <w:numId w:val="0"/>
        </w:numPr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numPr>
          <w:ilvl w:val="255"/>
          <w:numId w:val="0"/>
        </w:numPr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numPr>
          <w:ilvl w:val="255"/>
          <w:numId w:val="0"/>
        </w:numPr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numPr>
          <w:ilvl w:val="255"/>
          <w:numId w:val="0"/>
        </w:numPr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numPr>
          <w:ilvl w:val="255"/>
          <w:numId w:val="0"/>
        </w:num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第一章  询价公告</w:t>
      </w:r>
      <w:bookmarkEnd w:id="0"/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center"/>
        <w:outlineLvl w:val="0"/>
        <w:rPr>
          <w:rFonts w:ascii="宋体" w:hAnsi="宋体" w:eastAsia="宋体" w:cs="Times New Roman"/>
          <w:b/>
          <w:bCs/>
          <w:sz w:val="36"/>
          <w:szCs w:val="36"/>
        </w:rPr>
      </w:pPr>
    </w:p>
    <w:p>
      <w:pPr>
        <w:jc w:val="both"/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rPr>
          <w:rFonts w:ascii="宋体" w:hAnsi="宋体" w:eastAsia="宋体" w:cs="Times New Roman"/>
          <w:b/>
          <w:bCs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四川川东高速公路有限责任公司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2022年-2024年机电部分工程造价审核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询价公告</w:t>
      </w:r>
    </w:p>
    <w:p>
      <w:pPr>
        <w:pStyle w:val="4"/>
        <w:spacing w:line="560" w:lineRule="exact"/>
        <w:ind w:left="0" w:right="164" w:firstLine="640" w:firstLineChars="200"/>
        <w:rPr>
          <w:rFonts w:ascii="仿宋_GB2312" w:eastAsia="仿宋_GB2312"/>
          <w:sz w:val="32"/>
          <w:szCs w:val="32"/>
        </w:rPr>
      </w:pPr>
      <w:bookmarkStart w:id="1" w:name="_Hlk49864053"/>
      <w:r>
        <w:rPr>
          <w:rFonts w:hint="eastAsia" w:ascii="仿宋_GB2312" w:eastAsia="仿宋_GB2312"/>
          <w:sz w:val="32"/>
          <w:szCs w:val="32"/>
        </w:rPr>
        <w:t>四川川东高速公路有限责任公司（以下简称“川东公司”）、四川达渝高速公路</w:t>
      </w:r>
      <w:r>
        <w:rPr>
          <w:rFonts w:hint="eastAsia" w:ascii="仿宋_GB2312" w:eastAsia="仿宋_GB2312"/>
          <w:sz w:val="32"/>
          <w:szCs w:val="32"/>
          <w:lang w:eastAsia="zh-CN"/>
        </w:rPr>
        <w:t>建设</w:t>
      </w:r>
      <w:r>
        <w:rPr>
          <w:rFonts w:hint="eastAsia" w:ascii="仿宋_GB2312" w:eastAsia="仿宋_GB2312"/>
          <w:sz w:val="32"/>
          <w:szCs w:val="32"/>
        </w:rPr>
        <w:t>开发有限公司（以下简称“达渝公司”），为确保我司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机电部分</w:t>
      </w:r>
      <w:r>
        <w:rPr>
          <w:rFonts w:hint="eastAsia" w:ascii="仿宋_GB2312" w:eastAsia="仿宋_GB2312"/>
          <w:sz w:val="32"/>
          <w:szCs w:val="32"/>
        </w:rPr>
        <w:t>的造价审核工作顺利开展，保证造价（含新增单价）审批质量，现拟采用公开询价的方式确定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2022年-2024年机电部分的工程造价审核单位</w:t>
      </w:r>
      <w:r>
        <w:rPr>
          <w:rFonts w:hint="eastAsia" w:ascii="仿宋_GB2312" w:eastAsia="仿宋_GB2312"/>
          <w:sz w:val="32"/>
          <w:szCs w:val="32"/>
        </w:rPr>
        <w:t>。现由四川川东高速公路有限责任公司作为询价人（“询价人”），代理达渝公司一并实施本项目的询价工作。有意向且符合条件的单位（以下简称“报价人”）均可参加本次公开询价报价。中标后分别与川东公司、达渝公司签订合同。</w:t>
      </w:r>
      <w:bookmarkEnd w:id="1"/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pStyle w:val="4"/>
        <w:numPr>
          <w:numId w:val="0"/>
        </w:numPr>
        <w:spacing w:line="560" w:lineRule="exact"/>
        <w:ind w:leftChars="200" w:right="164" w:right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</w:rPr>
        <w:t>四川川东高速公路有限责任公司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2022年-2024年机电部分工程造价审核项目</w:t>
      </w:r>
    </w:p>
    <w:p>
      <w:pPr>
        <w:pStyle w:val="4"/>
        <w:numPr>
          <w:ilvl w:val="0"/>
          <w:numId w:val="0"/>
        </w:numPr>
        <w:spacing w:line="560" w:lineRule="exact"/>
        <w:ind w:leftChars="200" w:right="164" w:right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二、询价内容</w:t>
      </w:r>
    </w:p>
    <w:p>
      <w:pPr>
        <w:pStyle w:val="4"/>
        <w:spacing w:line="560" w:lineRule="exact"/>
        <w:ind w:left="0" w:right="164" w:firstLine="640" w:firstLineChars="200"/>
        <w:rPr>
          <w:rFonts w:hint="eastAsia" w:hAnsi="宋体" w:eastAsia="宋体" w:cs="Times New Roman"/>
          <w:b/>
          <w:bCs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本次询价为川东、达渝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公司机电部分确定工程造价审核、咨询单位。</w:t>
      </w:r>
    </w:p>
    <w:p>
      <w:pPr>
        <w:numPr>
          <w:numId w:val="0"/>
        </w:numPr>
        <w:spacing w:line="560" w:lineRule="exact"/>
        <w:ind w:leftChars="200"/>
        <w:outlineLvl w:val="1"/>
        <w:rPr>
          <w:rFonts w:hint="eastAsia" w:ascii="黑体" w:hAnsi="黑体" w:eastAsia="黑体" w:cs="黑体"/>
          <w:sz w:val="32"/>
          <w:szCs w:val="32"/>
        </w:rPr>
      </w:pPr>
      <w:bookmarkStart w:id="2" w:name="_Toc30296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报价人</w:t>
      </w:r>
      <w:bookmarkEnd w:id="2"/>
      <w:r>
        <w:rPr>
          <w:rFonts w:hint="eastAsia" w:ascii="黑体" w:hAnsi="黑体" w:eastAsia="黑体" w:cs="黑体"/>
          <w:sz w:val="32"/>
          <w:szCs w:val="32"/>
        </w:rPr>
        <w:t>资格要求</w:t>
      </w:r>
    </w:p>
    <w:p>
      <w:pPr>
        <w:numPr>
          <w:numId w:val="0"/>
        </w:numPr>
        <w:spacing w:line="560" w:lineRule="exact"/>
        <w:ind w:leftChars="200" w:firstLine="320" w:firstLineChars="100"/>
        <w:outlineLvl w:val="1"/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（一）基本要求：具有独立法人资格，持有效</w:t>
      </w:r>
      <w:bookmarkStart w:id="3" w:name="_Hlk77078565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营业执照</w:t>
      </w:r>
      <w:bookmarkEnd w:id="3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（或三证合一）；具有住房和城乡建设部颁发的工程造价咨询甲级资质；注册资金1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00万以上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（含1200万）；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全国注册一级造价工程师（安装方向）10人以上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（含10人）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7"/>
        <w:spacing w:after="0" w:line="560" w:lineRule="exact"/>
        <w:ind w:left="0" w:leftChars="0"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业绩</w:t>
      </w:r>
      <w:r>
        <w:rPr>
          <w:rFonts w:hint="eastAsia" w:ascii="仿宋_GB2312" w:hAnsi="仿宋_GB2312" w:eastAsia="仿宋_GB2312" w:cs="仿宋_GB2312"/>
          <w:sz w:val="32"/>
          <w:szCs w:val="32"/>
        </w:rPr>
        <w:t>及信誉要求：</w:t>
      </w:r>
    </w:p>
    <w:p>
      <w:pPr>
        <w:pStyle w:val="7"/>
        <w:spacing w:after="0" w:line="560" w:lineRule="exact"/>
        <w:ind w:left="0" w:leftChars="0" w:firstLine="640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自2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019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 w:bidi="ar-SA"/>
        </w:rPr>
        <w:t>年1月至今从事过高速公路造价审核的相关工作</w:t>
      </w:r>
      <w:r>
        <w:rPr>
          <w:rFonts w:hint="eastAsia" w:ascii="仿宋_GB2312" w:eastAsia="仿宋_GB2312" w:cstheme="minorBidi"/>
          <w:kern w:val="2"/>
          <w:sz w:val="32"/>
          <w:szCs w:val="32"/>
          <w:lang w:val="en-US" w:eastAsia="zh-CN" w:bidi="ar-SA"/>
        </w:rPr>
        <w:t>。至少提供三个业绩证明。</w:t>
      </w:r>
    </w:p>
    <w:p>
      <w:pPr>
        <w:pStyle w:val="7"/>
        <w:spacing w:after="0" w:line="560" w:lineRule="exact"/>
        <w:ind w:left="0" w:leftChars="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报价人在“信用中国”网站（http://www.creditchina.gov.cn）中未被列入失信被执行人名单（自行提供查询截图）。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.报价人在国家企业信用信息公示系统（http://www.gsxt.gov.cn）中未被列入严重违法失信企业名单（自行提供查询截图）；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.报价人未处于财产被接管、冻结、破产状态（自行提供查询截图）。</w:t>
      </w:r>
    </w:p>
    <w:p>
      <w:pPr>
        <w:spacing w:line="56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评审</w:t>
      </w:r>
      <w:r>
        <w:rPr>
          <w:rFonts w:hint="eastAsia" w:ascii="黑体" w:hAnsi="黑体" w:eastAsia="黑体" w:cs="黑体"/>
          <w:sz w:val="32"/>
          <w:szCs w:val="32"/>
        </w:rPr>
        <w:t>办法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4" w:name="_Toc16121"/>
      <w:r>
        <w:rPr>
          <w:rFonts w:hint="eastAsia" w:ascii="仿宋_GB2312" w:eastAsia="仿宋_GB2312"/>
          <w:sz w:val="32"/>
          <w:szCs w:val="32"/>
        </w:rPr>
        <w:t>本次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eastAsia="仿宋_GB2312"/>
          <w:sz w:val="32"/>
          <w:szCs w:val="32"/>
        </w:rPr>
        <w:t>询价采用资格后审，综合评分法。</w:t>
      </w:r>
    </w:p>
    <w:p>
      <w:pPr>
        <w:spacing w:line="56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bookmarkEnd w:id="4"/>
      <w:r>
        <w:rPr>
          <w:rFonts w:hint="eastAsia" w:ascii="黑体" w:hAnsi="黑体" w:eastAsia="黑体" w:cs="黑体"/>
          <w:sz w:val="32"/>
          <w:szCs w:val="32"/>
        </w:rPr>
        <w:t>询价文件的获取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line="240" w:lineRule="auto"/>
        <w:ind w:left="119" w:right="113" w:firstLine="476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1.凡有意参加报价的潜在报价人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请持本单位法人授权书、购买人身份证、单位介绍信、资质证书等的原件及复印件（复印件应加盖单位公章并校核原件），于2021年11月22日9:00至17:30到四川省广安市城南朝阳大道1段2号川东公司稽查监控中心（一）办公室购买询价文件，询价文件每套收取成本费人民币100元，售后不退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2.若有问题需要澄清，报价人应在2021年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日17：00前，将所需澄清问题以书面方式，按照询价文件中规定的地址通知询价人，询价人将在2021年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日17：00前，以补遗书的形式在四川川东高速公路有限责任公司（http://www.sccdgs.cn）网站上作出书面解答，由报价人自行下载。</w:t>
      </w:r>
    </w:p>
    <w:p>
      <w:pPr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价人应在报价期间实时关注询价人指定网站，并及时下载相关内容，询价人不再另行通知。查阅下载过程如有问题或疑问请及时与询价人联系；逾期未联系的，询价人视为报价人无任何问题，或是已收到或默认已收到，由此造成的一切后果由报价人自负。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560" w:lineRule="exact"/>
        <w:ind w:firstLine="640" w:firstLineChars="200"/>
        <w:outlineLvl w:val="1"/>
        <w:rPr>
          <w:rFonts w:ascii="黑体" w:hAnsi="黑体" w:eastAsia="黑体" w:cs="黑体"/>
          <w:sz w:val="32"/>
          <w:szCs w:val="32"/>
        </w:rPr>
      </w:pPr>
      <w:bookmarkStart w:id="5" w:name="_Toc4952"/>
      <w:r>
        <w:rPr>
          <w:rFonts w:hint="eastAsia" w:ascii="黑体" w:hAnsi="黑体" w:eastAsia="黑体" w:cs="黑体"/>
          <w:sz w:val="32"/>
          <w:szCs w:val="32"/>
        </w:rPr>
        <w:t>六、报价文件递交</w:t>
      </w:r>
      <w:bookmarkEnd w:id="5"/>
      <w:r>
        <w:rPr>
          <w:rFonts w:hint="eastAsia" w:ascii="黑体" w:hAnsi="黑体" w:eastAsia="黑体" w:cs="黑体"/>
          <w:sz w:val="32"/>
          <w:szCs w:val="32"/>
        </w:rPr>
        <w:t>及相关事宜</w:t>
      </w:r>
    </w:p>
    <w:p>
      <w:pPr>
        <w:spacing w:line="56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（一）报价文件递交的时间：2021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日上午9：30～10：00时（北京时间），截止时间：2021年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日上午10：00时（北京时间）。</w:t>
      </w:r>
    </w:p>
    <w:p>
      <w:pPr>
        <w:pStyle w:val="13"/>
        <w:tabs>
          <w:tab w:val="left" w:pos="1618"/>
        </w:tabs>
        <w:spacing w:line="56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（二）报价文件递交：报价人必须按要求将密封完好的报价文件以书面方式送达到</w:t>
      </w:r>
      <w:r>
        <w:rPr>
          <w:rFonts w:hint="eastAsia" w:ascii="仿宋_GB2312" w:eastAsia="仿宋_GB2312"/>
          <w:sz w:val="32"/>
          <w:szCs w:val="32"/>
          <w:u w:val="single"/>
        </w:rPr>
        <w:t>四川川东高速公路有限责任公司二楼小会议室（四川省广安市广安区朝阳大道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段</w:t>
      </w:r>
      <w:r>
        <w:rPr>
          <w:rFonts w:ascii="仿宋_GB2312" w:eastAsia="仿宋_GB2312"/>
          <w:sz w:val="32"/>
          <w:szCs w:val="32"/>
          <w:u w:val="single"/>
        </w:rPr>
        <w:t>2</w:t>
      </w:r>
      <w:r>
        <w:rPr>
          <w:rFonts w:hint="eastAsia" w:ascii="仿宋_GB2312" w:eastAsia="仿宋_GB2312"/>
          <w:sz w:val="32"/>
          <w:szCs w:val="32"/>
          <w:u w:val="single"/>
        </w:rPr>
        <w:t>号）。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 w:bidi="ar-SA"/>
        </w:rPr>
        <w:t>逾期送达的或未送达指定地点的或者未按要求密封的报价文件，询价人均不予受理。</w:t>
      </w:r>
    </w:p>
    <w:p>
      <w:pPr>
        <w:pStyle w:val="13"/>
        <w:tabs>
          <w:tab w:val="left" w:pos="1611"/>
        </w:tabs>
        <w:spacing w:line="560" w:lineRule="exact"/>
        <w:rPr>
          <w:rFonts w:ascii="仿宋_GB2312" w:eastAsia="仿宋_GB2312"/>
          <w:sz w:val="32"/>
          <w:szCs w:val="32"/>
        </w:rPr>
      </w:pPr>
      <w:bookmarkStart w:id="6" w:name="bookmark25"/>
      <w:r>
        <w:rPr>
          <w:rFonts w:hint="eastAsia" w:ascii="仿宋_GB2312" w:eastAsia="仿宋_GB2312" w:hAnsiTheme="minorHAnsi" w:cstheme="minorBidi"/>
          <w:sz w:val="32"/>
          <w:szCs w:val="32"/>
          <w:lang w:val="en-US" w:eastAsia="zh-CN" w:bidi="ar-SA"/>
        </w:rPr>
        <w:t>（</w:t>
      </w:r>
      <w:bookmarkEnd w:id="6"/>
      <w:r>
        <w:rPr>
          <w:rFonts w:hint="eastAsia" w:ascii="仿宋_GB2312" w:eastAsia="仿宋_GB2312" w:hAnsiTheme="minorHAnsi" w:cstheme="minorBidi"/>
          <w:sz w:val="32"/>
          <w:szCs w:val="32"/>
          <w:lang w:val="en-US" w:eastAsia="zh-CN" w:bidi="ar-SA"/>
        </w:rPr>
        <w:t>三）询价人定于报价文件送交截止时间的同一时间、同一地点举行公开开标，报价人应派代表出席并签认开标结果。</w:t>
      </w:r>
    </w:p>
    <w:p>
      <w:pPr>
        <w:spacing w:line="560" w:lineRule="exact"/>
        <w:ind w:firstLine="640" w:firstLineChars="200"/>
        <w:outlineLvl w:val="1"/>
        <w:rPr>
          <w:rFonts w:ascii="仿宋_GB2312" w:eastAsia="仿宋_GB2312"/>
          <w:sz w:val="32"/>
          <w:szCs w:val="32"/>
        </w:rPr>
      </w:pPr>
      <w:bookmarkStart w:id="7" w:name="_Toc22844"/>
      <w:r>
        <w:rPr>
          <w:rFonts w:hint="eastAsia" w:ascii="黑体" w:hAnsi="黑体" w:eastAsia="黑体" w:cs="黑体"/>
          <w:sz w:val="32"/>
          <w:szCs w:val="32"/>
        </w:rPr>
        <w:t>七、联系方式</w:t>
      </w:r>
      <w:bookmarkEnd w:id="7"/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询价人地址：四川省广安市广安区朝阳大道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1段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ascii="仿宋_GB2312" w:eastAsia="仿宋_GB2312"/>
          <w:sz w:val="32"/>
          <w:szCs w:val="32"/>
        </w:rPr>
        <w:t>--</w:t>
      </w:r>
      <w:r>
        <w:rPr>
          <w:rFonts w:hint="eastAsia" w:ascii="仿宋_GB2312" w:eastAsia="仿宋_GB2312"/>
          <w:sz w:val="32"/>
          <w:szCs w:val="32"/>
        </w:rPr>
        <w:t>四川川东高速公路有限责任公司。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林先生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</w:t>
      </w:r>
      <w:r>
        <w:rPr>
          <w:rFonts w:hint="eastAsia" w:ascii="仿宋_GB2312" w:eastAsia="仿宋_GB2312"/>
          <w:sz w:val="32"/>
          <w:szCs w:val="32"/>
        </w:rPr>
        <w:t>电话：</w:t>
      </w:r>
      <w:r>
        <w:rPr>
          <w:rFonts w:ascii="仿宋_GB2312" w:eastAsia="仿宋_GB2312"/>
          <w:sz w:val="32"/>
          <w:szCs w:val="32"/>
        </w:rPr>
        <w:t>0826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ascii="仿宋_GB2312" w:eastAsia="仿宋_GB2312"/>
          <w:sz w:val="32"/>
          <w:szCs w:val="32"/>
        </w:rPr>
        <w:t>51080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四川川东高速公路有限责任公司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J4fOQywAQAA&#10;SQ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/0y+WsQEA&#10;AEg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375DF"/>
    <w:rsid w:val="256375DF"/>
    <w:rsid w:val="639F7110"/>
    <w:rsid w:val="679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48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标题 2 + Times New Roman 四号 非加粗 段前: 5 磅 段后: 0 磅 行距: 固定值 20..."/>
    <w:basedOn w:val="3"/>
    <w:qFormat/>
    <w:uiPriority w:val="0"/>
    <w:pPr>
      <w:spacing w:before="100" w:beforeLines="0" w:beforeAutospacing="0" w:after="0" w:afterLines="0" w:afterAutospacing="0" w:line="400" w:lineRule="exact"/>
    </w:pPr>
    <w:rPr>
      <w:rFonts w:ascii="Times New Roman" w:hAnsi="Times New Roman"/>
      <w:b w:val="0"/>
      <w:sz w:val="28"/>
    </w:rPr>
  </w:style>
  <w:style w:type="paragraph" w:styleId="4">
    <w:name w:val="Body Text"/>
    <w:basedOn w:val="1"/>
    <w:unhideWhenUsed/>
    <w:qFormat/>
    <w:uiPriority w:val="99"/>
    <w:pPr>
      <w:ind w:left="101"/>
    </w:pPr>
    <w:rPr>
      <w:rFonts w:ascii="宋体"/>
    </w:rPr>
  </w:style>
  <w:style w:type="paragraph" w:styleId="5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Body Text First Indent 2"/>
    <w:basedOn w:val="5"/>
    <w:unhideWhenUsed/>
    <w:qFormat/>
    <w:uiPriority w:val="99"/>
    <w:pPr>
      <w:ind w:firstLine="420" w:firstLineChars="200"/>
    </w:pPr>
  </w:style>
  <w:style w:type="paragraph" w:customStyle="1" w:styleId="1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2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蜀道投资集团有限责任公司总公司</Company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2021-11-17T06:47:00Z</dcterms:created>
  <dc:creator>廖雪健</dc:creator>
  <cp:lastModifiedBy>廖雪健</cp:lastModifiedBy>
  <dcterms:modified xsi:type="dcterms:W3CDTF">2021-11-17T07:24:50Z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